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AC640" w14:textId="77777777" w:rsidR="00B07CEF" w:rsidRDefault="00B07CEF">
      <w:pPr>
        <w:widowControl w:val="0"/>
        <w:spacing w:line="240" w:lineRule="auto"/>
        <w:jc w:val="center"/>
      </w:pPr>
    </w:p>
    <w:p w14:paraId="40546CBA" w14:textId="3C1CAE97" w:rsidR="00B07CEF" w:rsidRDefault="00EF2637">
      <w:pPr>
        <w:widowControl w:val="0"/>
        <w:spacing w:line="240" w:lineRule="auto"/>
      </w:pPr>
      <w:r>
        <w:t>PRESS RELEASE</w:t>
      </w:r>
    </w:p>
    <w:p w14:paraId="01DBEF7E" w14:textId="77777777" w:rsidR="00B07CEF" w:rsidRDefault="00B07CEF">
      <w:pPr>
        <w:widowControl w:val="0"/>
        <w:spacing w:line="240" w:lineRule="auto"/>
      </w:pPr>
    </w:p>
    <w:p w14:paraId="6D7F7908" w14:textId="2111C1E6" w:rsidR="00B07CEF" w:rsidRDefault="004349E4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Civil Society Coalition Demands That MUFG and </w:t>
      </w:r>
      <w:r w:rsidR="00377AC4">
        <w:rPr>
          <w:b/>
          <w:sz w:val="24"/>
          <w:szCs w:val="24"/>
        </w:rPr>
        <w:t xml:space="preserve">Bank </w:t>
      </w:r>
      <w:r>
        <w:rPr>
          <w:b/>
          <w:sz w:val="24"/>
          <w:szCs w:val="24"/>
        </w:rPr>
        <w:t xml:space="preserve">Danamon Be Held Accountable for </w:t>
      </w:r>
      <w:r>
        <w:rPr>
          <w:b/>
          <w:sz w:val="24"/>
          <w:szCs w:val="24"/>
        </w:rPr>
        <w:t>Forest</w:t>
      </w:r>
      <w:r>
        <w:rPr>
          <w:b/>
          <w:sz w:val="24"/>
          <w:szCs w:val="24"/>
        </w:rPr>
        <w:t xml:space="preserve"> Destruction, Climate Crisis and Human Rights Violation in Indonesia</w:t>
      </w:r>
    </w:p>
    <w:p w14:paraId="41484B54" w14:textId="77777777" w:rsidR="00A937B3" w:rsidRDefault="00A937B3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4E5313F4" w14:textId="0D7EB265" w:rsidR="00B07CEF" w:rsidRDefault="00377AC4">
      <w:pPr>
        <w:widowControl w:val="0"/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Bank </w:t>
      </w:r>
      <w:r w:rsidR="00575EC9">
        <w:rPr>
          <w:i/>
          <w:sz w:val="20"/>
          <w:szCs w:val="20"/>
        </w:rPr>
        <w:t xml:space="preserve">Danamon </w:t>
      </w:r>
      <w:r w:rsidR="00171957">
        <w:rPr>
          <w:i/>
          <w:sz w:val="20"/>
          <w:szCs w:val="20"/>
        </w:rPr>
        <w:t>becomes MUFG’s subsidiary that is exempted from MUFG’s new palm oil and forest</w:t>
      </w:r>
      <w:r>
        <w:rPr>
          <w:i/>
          <w:sz w:val="20"/>
          <w:szCs w:val="20"/>
        </w:rPr>
        <w:t>ry</w:t>
      </w:r>
      <w:r w:rsidR="00171957">
        <w:rPr>
          <w:i/>
          <w:sz w:val="20"/>
          <w:szCs w:val="20"/>
        </w:rPr>
        <w:t xml:space="preserve"> </w:t>
      </w:r>
      <w:r w:rsidR="00477983">
        <w:rPr>
          <w:i/>
          <w:sz w:val="20"/>
          <w:szCs w:val="20"/>
        </w:rPr>
        <w:t>policies</w:t>
      </w:r>
      <w:r w:rsidR="00171957">
        <w:rPr>
          <w:i/>
          <w:sz w:val="20"/>
          <w:szCs w:val="20"/>
        </w:rPr>
        <w:t>, impairing the quality of its Annual Sustainability Report and its Sustainable Finance Action Plan</w:t>
      </w:r>
    </w:p>
    <w:p w14:paraId="643165B5" w14:textId="77777777" w:rsidR="00B07CEF" w:rsidRDefault="00B07CEF">
      <w:pPr>
        <w:widowControl w:val="0"/>
        <w:spacing w:line="240" w:lineRule="auto"/>
      </w:pPr>
    </w:p>
    <w:p w14:paraId="5617CA70" w14:textId="74037F23" w:rsidR="00B07CEF" w:rsidRDefault="00575EC9">
      <w:pPr>
        <w:widowControl w:val="0"/>
        <w:spacing w:line="240" w:lineRule="auto"/>
        <w:jc w:val="both"/>
        <w:rPr>
          <w:i/>
        </w:rPr>
      </w:pPr>
      <w:r>
        <w:t xml:space="preserve">Jakarta, 5 April 2021 </w:t>
      </w:r>
      <w:r w:rsidR="00171957">
        <w:t>–</w:t>
      </w:r>
      <w:r>
        <w:t xml:space="preserve"> </w:t>
      </w:r>
      <w:r w:rsidR="00171957">
        <w:rPr>
          <w:i/>
        </w:rPr>
        <w:t xml:space="preserve">A civil society coalition is staging a protest in front of a branch office of </w:t>
      </w:r>
      <w:r>
        <w:rPr>
          <w:i/>
        </w:rPr>
        <w:t>Mitsubishi UFJ Finan</w:t>
      </w:r>
      <w:r>
        <w:rPr>
          <w:i/>
        </w:rPr>
        <w:t xml:space="preserve">cial Group (MUFG) </w:t>
      </w:r>
      <w:r w:rsidR="00171957">
        <w:rPr>
          <w:i/>
        </w:rPr>
        <w:t xml:space="preserve">in </w:t>
      </w:r>
      <w:r>
        <w:rPr>
          <w:i/>
        </w:rPr>
        <w:t xml:space="preserve">Jakarta. </w:t>
      </w:r>
      <w:r w:rsidR="00171957">
        <w:rPr>
          <w:i/>
        </w:rPr>
        <w:t xml:space="preserve">It is calling on the Group to stop financing climate crisis through </w:t>
      </w:r>
      <w:r w:rsidR="00BA5E35">
        <w:rPr>
          <w:i/>
        </w:rPr>
        <w:t xml:space="preserve">its loans to some of major mining and agribusiness companies in Indonesia.  It is also demanding that </w:t>
      </w:r>
      <w:r>
        <w:rPr>
          <w:i/>
        </w:rPr>
        <w:t xml:space="preserve">MUFG </w:t>
      </w:r>
      <w:r w:rsidR="00BA5E35">
        <w:rPr>
          <w:i/>
        </w:rPr>
        <w:t xml:space="preserve">adopt the “No Deforestation No Peatland, No Exploitation” (NDPE) standard and apply it to all financing by </w:t>
      </w:r>
      <w:r>
        <w:rPr>
          <w:i/>
        </w:rPr>
        <w:t xml:space="preserve">MUFG </w:t>
      </w:r>
      <w:r w:rsidR="00BA5E35">
        <w:rPr>
          <w:i/>
        </w:rPr>
        <w:t xml:space="preserve">and its subsidiaries, including that </w:t>
      </w:r>
      <w:r w:rsidR="00BA5E35">
        <w:rPr>
          <w:i/>
        </w:rPr>
        <w:t>provided</w:t>
      </w:r>
      <w:r w:rsidR="00377AC4">
        <w:rPr>
          <w:i/>
        </w:rPr>
        <w:t xml:space="preserve"> in</w:t>
      </w:r>
      <w:r w:rsidR="00BA5E35">
        <w:rPr>
          <w:i/>
        </w:rPr>
        <w:t xml:space="preserve"> </w:t>
      </w:r>
      <w:r w:rsidR="00BA5E35">
        <w:rPr>
          <w:i/>
        </w:rPr>
        <w:t xml:space="preserve">Indonesia for a number of Indonesia’s largest palm oil, and pulp&amp;paper groups such as the </w:t>
      </w:r>
      <w:r>
        <w:rPr>
          <w:i/>
        </w:rPr>
        <w:t xml:space="preserve">Sinar Mas </w:t>
      </w:r>
      <w:r w:rsidR="00BA5E35">
        <w:rPr>
          <w:i/>
        </w:rPr>
        <w:t xml:space="preserve">Group </w:t>
      </w:r>
      <w:r>
        <w:rPr>
          <w:i/>
        </w:rPr>
        <w:t xml:space="preserve">(SMG), </w:t>
      </w:r>
      <w:r>
        <w:rPr>
          <w:i/>
        </w:rPr>
        <w:t xml:space="preserve">Royal Golden Eagle (RGE), </w:t>
      </w:r>
      <w:r w:rsidR="00377AC4">
        <w:rPr>
          <w:i/>
        </w:rPr>
        <w:t xml:space="preserve">the </w:t>
      </w:r>
      <w:r>
        <w:rPr>
          <w:i/>
        </w:rPr>
        <w:t xml:space="preserve">Salim </w:t>
      </w:r>
      <w:r w:rsidR="00377AC4">
        <w:rPr>
          <w:i/>
        </w:rPr>
        <w:t xml:space="preserve">Group and the </w:t>
      </w:r>
      <w:r>
        <w:rPr>
          <w:i/>
        </w:rPr>
        <w:t>Jardine Matheson</w:t>
      </w:r>
      <w:r w:rsidR="00377AC4">
        <w:rPr>
          <w:i/>
        </w:rPr>
        <w:t xml:space="preserve"> Group</w:t>
      </w:r>
      <w:r>
        <w:rPr>
          <w:i/>
        </w:rPr>
        <w:t xml:space="preserve">. </w:t>
      </w:r>
    </w:p>
    <w:p w14:paraId="69BE03ED" w14:textId="77777777" w:rsidR="00B07CEF" w:rsidRDefault="00B07CEF">
      <w:pPr>
        <w:widowControl w:val="0"/>
        <w:spacing w:line="240" w:lineRule="auto"/>
        <w:jc w:val="both"/>
      </w:pPr>
    </w:p>
    <w:p w14:paraId="39A981C0" w14:textId="6F280F6D" w:rsidR="00B07CEF" w:rsidRDefault="00575EC9">
      <w:pPr>
        <w:widowControl w:val="0"/>
        <w:spacing w:line="240" w:lineRule="auto"/>
        <w:jc w:val="both"/>
      </w:pPr>
      <w:r>
        <w:t>“</w:t>
      </w:r>
      <w:r w:rsidRPr="00377AC4">
        <w:t>MUFG</w:t>
      </w:r>
      <w:r w:rsidR="00377AC4" w:rsidRPr="00377AC4">
        <w:t xml:space="preserve"> is rapidly expanding its business </w:t>
      </w:r>
      <w:r w:rsidR="00377AC4" w:rsidRPr="00377AC4">
        <w:rPr>
          <w:rFonts w:eastAsia="Nunito"/>
        </w:rPr>
        <w:t>in Indonesia and recently acquired the sixth largest bank in Indonesia called Bank Danamon.  However, this subsidiary is</w:t>
      </w:r>
      <w:r w:rsidR="00377AC4">
        <w:rPr>
          <w:rFonts w:eastAsia="Nunito"/>
        </w:rPr>
        <w:t xml:space="preserve"> </w:t>
      </w:r>
      <w:r w:rsidR="00377AC4" w:rsidRPr="00377AC4">
        <w:rPr>
          <w:rFonts w:eastAsia="Nunito"/>
        </w:rPr>
        <w:t>n</w:t>
      </w:r>
      <w:r w:rsidR="00377AC4">
        <w:rPr>
          <w:rFonts w:eastAsia="Nunito"/>
        </w:rPr>
        <w:t>o</w:t>
      </w:r>
      <w:r w:rsidR="00377AC4" w:rsidRPr="00377AC4">
        <w:rPr>
          <w:rFonts w:eastAsia="Nunito"/>
        </w:rPr>
        <w:t>t even required to abide by the MUFG’s new palm oil and forestry policies</w:t>
      </w:r>
      <w:r w:rsidR="00377AC4">
        <w:rPr>
          <w:rFonts w:eastAsia="Nunito"/>
        </w:rPr>
        <w:t xml:space="preserve">, </w:t>
      </w:r>
      <w:r w:rsidR="008D20E0">
        <w:rPr>
          <w:rFonts w:eastAsia="Nunito"/>
        </w:rPr>
        <w:t xml:space="preserve">enabling it to take advantages at regional level to execute transactions </w:t>
      </w:r>
      <w:r w:rsidR="00EF2637">
        <w:rPr>
          <w:rFonts w:eastAsia="Nunito"/>
        </w:rPr>
        <w:t>in</w:t>
      </w:r>
      <w:r w:rsidR="008D20E0">
        <w:rPr>
          <w:rFonts w:eastAsia="Nunito"/>
        </w:rPr>
        <w:t xml:space="preserve"> illegal and risk sectors,” said </w:t>
      </w:r>
      <w:r>
        <w:t>Edi Sutrisno</w:t>
      </w:r>
      <w:r w:rsidR="008D20E0">
        <w:t xml:space="preserve">, Director of </w:t>
      </w:r>
      <w:r>
        <w:t xml:space="preserve">TuK INDONESIA. </w:t>
      </w:r>
    </w:p>
    <w:p w14:paraId="36E376BF" w14:textId="77777777" w:rsidR="00B07CEF" w:rsidRDefault="00B07CEF">
      <w:pPr>
        <w:widowControl w:val="0"/>
        <w:spacing w:line="240" w:lineRule="auto"/>
        <w:jc w:val="both"/>
      </w:pPr>
    </w:p>
    <w:p w14:paraId="4F4F489D" w14:textId="3102E6CE" w:rsidR="00B07CEF" w:rsidRPr="00D112C3" w:rsidRDefault="008D20E0">
      <w:pPr>
        <w:widowControl w:val="0"/>
        <w:spacing w:line="240" w:lineRule="auto"/>
        <w:jc w:val="both"/>
      </w:pPr>
      <w:r>
        <w:t xml:space="preserve">With no </w:t>
      </w:r>
      <w:r w:rsidR="004D2956">
        <w:t>explicit</w:t>
      </w:r>
      <w:r>
        <w:t xml:space="preserve"> commitment to best practices such as NDPE, MUFG</w:t>
      </w:r>
      <w:r w:rsidR="002418B4">
        <w:t xml:space="preserve">’s policies seem half-hearted. Furthermore, it continues to accept </w:t>
      </w:r>
      <w:r w:rsidR="002418B4" w:rsidRPr="00A937B3">
        <w:t xml:space="preserve">the </w:t>
      </w:r>
      <w:r w:rsidR="00575EC9" w:rsidRPr="00A937B3">
        <w:t>Program for the Endorsement of Forest Certification</w:t>
      </w:r>
      <w:r w:rsidR="00575EC9">
        <w:t xml:space="preserve"> (PEFC)</w:t>
      </w:r>
      <w:r w:rsidR="002418B4">
        <w:t>, which is a weak standard as it still certifies businesses that destroy natural forests and peatland and cause conflicts with communities</w:t>
      </w:r>
      <w:r w:rsidR="002418B4" w:rsidRPr="002418B4">
        <w:t xml:space="preserve">. </w:t>
      </w:r>
      <w:r w:rsidR="002418B4">
        <w:t xml:space="preserve">Since 2016 </w:t>
      </w:r>
      <w:r w:rsidR="002418B4" w:rsidRPr="002418B4">
        <w:rPr>
          <w:rFonts w:eastAsia="Nunito"/>
        </w:rPr>
        <w:t>MUFG</w:t>
      </w:r>
      <w:r w:rsidR="002418B4" w:rsidRPr="002418B4">
        <w:rPr>
          <w:rFonts w:eastAsia="Nunito"/>
        </w:rPr>
        <w:t xml:space="preserve"> ha</w:t>
      </w:r>
      <w:r w:rsidR="002418B4">
        <w:rPr>
          <w:rFonts w:eastAsia="Nunito"/>
        </w:rPr>
        <w:t xml:space="preserve">s </w:t>
      </w:r>
      <w:r w:rsidR="002418B4" w:rsidRPr="002418B4">
        <w:rPr>
          <w:rFonts w:eastAsia="Nunito"/>
        </w:rPr>
        <w:t>provided over $500 million in loans to the Sinar Mas Group</w:t>
      </w:r>
      <w:r w:rsidR="004D2956">
        <w:rPr>
          <w:rFonts w:eastAsia="Nunito"/>
        </w:rPr>
        <w:t xml:space="preserve"> (SMG)</w:t>
      </w:r>
      <w:r w:rsidR="002418B4" w:rsidRPr="002418B4">
        <w:rPr>
          <w:rFonts w:eastAsia="Nunito"/>
        </w:rPr>
        <w:t xml:space="preserve">, </w:t>
      </w:r>
      <w:r w:rsidR="002418B4">
        <w:rPr>
          <w:rFonts w:eastAsia="Nunito"/>
        </w:rPr>
        <w:t xml:space="preserve">a major Indonesian </w:t>
      </w:r>
      <w:r w:rsidR="002418B4" w:rsidRPr="002418B4">
        <w:rPr>
          <w:rFonts w:eastAsia="Nunito"/>
        </w:rPr>
        <w:t>palm oil conglomerate</w:t>
      </w:r>
      <w:r w:rsidR="002418B4">
        <w:rPr>
          <w:rFonts w:eastAsia="Nunito"/>
        </w:rPr>
        <w:t>s</w:t>
      </w:r>
      <w:r w:rsidR="002418B4" w:rsidRPr="002418B4">
        <w:rPr>
          <w:rFonts w:eastAsia="Nunito"/>
        </w:rPr>
        <w:t xml:space="preserve"> that is considered one of the most culpable companies for the recurrent fires in </w:t>
      </w:r>
      <w:r w:rsidR="002418B4" w:rsidRPr="00D112C3">
        <w:rPr>
          <w:rFonts w:eastAsia="Nunito"/>
        </w:rPr>
        <w:t>Indonesia</w:t>
      </w:r>
      <w:r w:rsidR="002418B4" w:rsidRPr="00D112C3">
        <w:rPr>
          <w:rFonts w:eastAsia="Nunito"/>
        </w:rPr>
        <w:t xml:space="preserve">. </w:t>
      </w:r>
      <w:r w:rsidR="00575EC9" w:rsidRPr="00D112C3">
        <w:t xml:space="preserve">SMG </w:t>
      </w:r>
      <w:r w:rsidR="004D2956" w:rsidRPr="00D112C3">
        <w:t>is recorded</w:t>
      </w:r>
      <w:r w:rsidR="00D112C3" w:rsidRPr="00D112C3">
        <w:rPr>
          <w:vertAlign w:val="superscript"/>
        </w:rPr>
        <w:footnoteReference w:id="1"/>
      </w:r>
      <w:r w:rsidR="004D2956" w:rsidRPr="00D112C3">
        <w:t xml:space="preserve"> as the group </w:t>
      </w:r>
      <w:r w:rsidR="00EF2637">
        <w:t xml:space="preserve">with a </w:t>
      </w:r>
      <w:r w:rsidR="00D112C3" w:rsidRPr="00D112C3">
        <w:t xml:space="preserve">well-documented </w:t>
      </w:r>
      <w:r w:rsidR="00EF2637">
        <w:t xml:space="preserve">footprint of </w:t>
      </w:r>
      <w:r w:rsidR="00D112C3" w:rsidRPr="00D112C3">
        <w:t xml:space="preserve">the worst </w:t>
      </w:r>
      <w:r w:rsidR="004D2956" w:rsidRPr="00D112C3">
        <w:t>human rights violation and environmental degradation,</w:t>
      </w:r>
      <w:r w:rsidR="00D112C3" w:rsidRPr="00D112C3">
        <w:t xml:space="preserve"> which involve land grabbing, intimidation, criminalization and violence.</w:t>
      </w:r>
      <w:r w:rsidR="00575EC9" w:rsidRPr="00D112C3">
        <w:t xml:space="preserve"> </w:t>
      </w:r>
      <w:r w:rsidR="00575EC9" w:rsidRPr="00D112C3">
        <w:t xml:space="preserve">MUFG </w:t>
      </w:r>
      <w:r w:rsidR="00D112C3" w:rsidRPr="00D112C3">
        <w:t xml:space="preserve">also continues to be among the banks that finance Indofood, Indonesia’s largest food company, which </w:t>
      </w:r>
      <w:r w:rsidR="00D112C3" w:rsidRPr="00D112C3">
        <w:rPr>
          <w:rFonts w:eastAsia="Nunito"/>
        </w:rPr>
        <w:t>that has been repeatedly found to be involved in systematic and illegal labor exploitation</w:t>
      </w:r>
      <w:r w:rsidR="00D112C3" w:rsidRPr="00D112C3">
        <w:rPr>
          <w:rFonts w:eastAsia="Nunito"/>
        </w:rPr>
        <w:t xml:space="preserve"> in its subsidiary </w:t>
      </w:r>
      <w:r w:rsidR="00575EC9" w:rsidRPr="00D112C3">
        <w:t>PT. London Sumatra</w:t>
      </w:r>
      <w:r w:rsidR="00D112C3" w:rsidRPr="00D112C3">
        <w:t xml:space="preserve">, </w:t>
      </w:r>
      <w:r w:rsidR="00EF2637">
        <w:t xml:space="preserve">which is </w:t>
      </w:r>
      <w:r w:rsidR="00D112C3" w:rsidRPr="00D112C3">
        <w:t xml:space="preserve">currently facing a lawsuit from the trade union over </w:t>
      </w:r>
      <w:r w:rsidR="00D112C3">
        <w:t xml:space="preserve">arbitrary </w:t>
      </w:r>
      <w:r w:rsidR="00D112C3" w:rsidRPr="00D112C3">
        <w:t>dismissal.</w:t>
      </w:r>
      <w:r w:rsidR="00575EC9" w:rsidRPr="00D112C3">
        <w:rPr>
          <w:vertAlign w:val="superscript"/>
        </w:rPr>
        <w:footnoteReference w:id="2"/>
      </w:r>
      <w:r w:rsidR="00575EC9" w:rsidRPr="00D112C3">
        <w:t xml:space="preserve"> </w:t>
      </w:r>
    </w:p>
    <w:p w14:paraId="2FA196F6" w14:textId="77777777" w:rsidR="00B07CEF" w:rsidRDefault="00B07CEF">
      <w:pPr>
        <w:widowControl w:val="0"/>
        <w:spacing w:line="240" w:lineRule="auto"/>
        <w:jc w:val="both"/>
      </w:pPr>
    </w:p>
    <w:p w14:paraId="652932BB" w14:textId="73450A7D" w:rsidR="00B07CEF" w:rsidRPr="00A937B3" w:rsidRDefault="00D112C3">
      <w:pPr>
        <w:widowControl w:val="0"/>
        <w:spacing w:line="240" w:lineRule="auto"/>
        <w:jc w:val="both"/>
      </w:pPr>
      <w:r>
        <w:t xml:space="preserve">To date, the farmer group </w:t>
      </w:r>
      <w:r w:rsidR="00575EC9">
        <w:t xml:space="preserve">Kelompok Tani Sekato Jaya </w:t>
      </w:r>
      <w:r>
        <w:t xml:space="preserve">of </w:t>
      </w:r>
      <w:r w:rsidR="00575EC9">
        <w:t xml:space="preserve">Lubuk Mandarsah </w:t>
      </w:r>
      <w:r>
        <w:t xml:space="preserve">in </w:t>
      </w:r>
      <w:r w:rsidR="00575EC9">
        <w:t xml:space="preserve">Jambi </w:t>
      </w:r>
      <w:r>
        <w:t xml:space="preserve">has still been fighting for its </w:t>
      </w:r>
      <w:r w:rsidR="00C757AD">
        <w:t xml:space="preserve">cropland which has been grabbed and destroyed by one of SMG’s subsidiaries called </w:t>
      </w:r>
      <w:r w:rsidR="00575EC9">
        <w:t>PT. Wirakarya Sakti (WKS). “</w:t>
      </w:r>
      <w:r w:rsidR="00C757AD">
        <w:t xml:space="preserve">We badly need the land for the survival </w:t>
      </w:r>
      <w:r w:rsidR="00EF2637">
        <w:t xml:space="preserve">and future </w:t>
      </w:r>
      <w:r w:rsidR="00C757AD">
        <w:t xml:space="preserve">of our children. </w:t>
      </w:r>
      <w:r w:rsidR="00C757AD" w:rsidRPr="00C757AD">
        <w:t>We want to live a quiet, peaceful, serene life</w:t>
      </w:r>
      <w:r w:rsidR="00C757AD">
        <w:t xml:space="preserve"> here. PT WKS, please understand our situation. Please return our customary land in Lubuk </w:t>
      </w:r>
      <w:r w:rsidR="00C757AD" w:rsidRPr="00A937B3">
        <w:t xml:space="preserve">Mandarsah Village,” </w:t>
      </w:r>
      <w:r w:rsidR="00EF2637" w:rsidRPr="00A937B3">
        <w:t>requested</w:t>
      </w:r>
      <w:r w:rsidR="00C757AD" w:rsidRPr="00A937B3">
        <w:t xml:space="preserve"> Ms. Minarti, a local wom</w:t>
      </w:r>
      <w:r w:rsidR="00EF2637" w:rsidRPr="00A937B3">
        <w:t>a</w:t>
      </w:r>
      <w:r w:rsidR="00C757AD" w:rsidRPr="00A937B3">
        <w:t xml:space="preserve">n who grows and sells bananas, cassava and </w:t>
      </w:r>
      <w:r w:rsidR="00477983" w:rsidRPr="00A937B3">
        <w:t xml:space="preserve">chili peppers </w:t>
      </w:r>
      <w:r w:rsidR="00C757AD" w:rsidRPr="00A937B3">
        <w:t>to support her family.</w:t>
      </w:r>
    </w:p>
    <w:p w14:paraId="788C2831" w14:textId="77777777" w:rsidR="00B07CEF" w:rsidRPr="00A937B3" w:rsidRDefault="00B07CEF">
      <w:pPr>
        <w:widowControl w:val="0"/>
        <w:spacing w:line="240" w:lineRule="auto"/>
        <w:jc w:val="both"/>
      </w:pPr>
    </w:p>
    <w:p w14:paraId="33EECE19" w14:textId="5278ECAD" w:rsidR="00B07CEF" w:rsidRPr="006F590B" w:rsidRDefault="00C757AD">
      <w:pPr>
        <w:widowControl w:val="0"/>
        <w:spacing w:line="240" w:lineRule="auto"/>
        <w:jc w:val="both"/>
      </w:pPr>
      <w:r w:rsidRPr="00A937B3">
        <w:t xml:space="preserve">Not only has MUFG violated human rights, it has </w:t>
      </w:r>
      <w:r w:rsidR="00EF2637" w:rsidRPr="00A937B3">
        <w:t xml:space="preserve">also </w:t>
      </w:r>
      <w:r w:rsidRPr="00A937B3">
        <w:t xml:space="preserve">been actively financing companies that are </w:t>
      </w:r>
      <w:r w:rsidRPr="00A937B3">
        <w:rPr>
          <w:rFonts w:eastAsia="Nunito"/>
        </w:rPr>
        <w:t>intentionally using fires to clear land, often illegally</w:t>
      </w:r>
      <w:r w:rsidRPr="00A937B3">
        <w:rPr>
          <w:rFonts w:eastAsia="Nunito"/>
        </w:rPr>
        <w:t xml:space="preserve">. </w:t>
      </w:r>
      <w:r w:rsidRPr="00A937B3">
        <w:rPr>
          <w:rFonts w:eastAsia="Nunito"/>
        </w:rPr>
        <w:t xml:space="preserve">Following 2015, when fires ravaged Indonesia and burned 2.6 million hectares of forests and peat, MUFG continued to provide over $1.2 billion to companies' palm oil and pulp &amp; paper operations that used fire to clear rainforests and peatlands in Indonesia </w:t>
      </w:r>
      <w:r w:rsidRPr="00A937B3">
        <w:rPr>
          <w:rFonts w:eastAsia="Nunito"/>
        </w:rPr>
        <w:t xml:space="preserve">for </w:t>
      </w:r>
      <w:r w:rsidRPr="00A937B3">
        <w:rPr>
          <w:rFonts w:eastAsia="Nunito"/>
        </w:rPr>
        <w:t>plantations</w:t>
      </w:r>
      <w:r w:rsidRPr="00A937B3">
        <w:rPr>
          <w:rFonts w:eastAsia="Nunito"/>
        </w:rPr>
        <w:t xml:space="preserve">. To date, </w:t>
      </w:r>
      <w:r w:rsidR="00575EC9" w:rsidRPr="00A937B3">
        <w:t xml:space="preserve">MUFG </w:t>
      </w:r>
      <w:r w:rsidRPr="00A937B3">
        <w:t>has had no policies to evaluate its financing</w:t>
      </w:r>
      <w:r w:rsidR="00C57481" w:rsidRPr="00A937B3">
        <w:t xml:space="preserve"> to companies </w:t>
      </w:r>
      <w:r w:rsidR="00F85E17" w:rsidRPr="00A937B3">
        <w:lastRenderedPageBreak/>
        <w:t>which use fire</w:t>
      </w:r>
      <w:r w:rsidR="00F85E17" w:rsidRPr="006F590B">
        <w:t xml:space="preserve"> to clear land </w:t>
      </w:r>
      <w:r w:rsidR="00C57481" w:rsidRPr="006F590B">
        <w:t xml:space="preserve">or companies </w:t>
      </w:r>
      <w:r w:rsidR="00F85E17" w:rsidRPr="006F590B">
        <w:t xml:space="preserve">whose </w:t>
      </w:r>
      <w:r w:rsidR="00C57481" w:rsidRPr="006F590B">
        <w:t>supply chain</w:t>
      </w:r>
      <w:r w:rsidR="00F85E17" w:rsidRPr="006F590B">
        <w:t>s</w:t>
      </w:r>
      <w:r w:rsidR="00C57481" w:rsidRPr="006F590B">
        <w:t xml:space="preserve"> are involved in burning forests.</w:t>
      </w:r>
    </w:p>
    <w:p w14:paraId="6B6556F1" w14:textId="77777777" w:rsidR="00B07CEF" w:rsidRPr="006F590B" w:rsidRDefault="00B07CEF">
      <w:pPr>
        <w:widowControl w:val="0"/>
        <w:spacing w:line="240" w:lineRule="auto"/>
        <w:jc w:val="both"/>
      </w:pPr>
    </w:p>
    <w:p w14:paraId="29C54ECB" w14:textId="56E3FF93" w:rsidR="00B07CEF" w:rsidRPr="006F590B" w:rsidRDefault="00C57481">
      <w:pPr>
        <w:widowControl w:val="0"/>
        <w:spacing w:line="240" w:lineRule="auto"/>
        <w:jc w:val="both"/>
      </w:pPr>
      <w:r w:rsidRPr="00EF2637">
        <w:rPr>
          <w:rFonts w:eastAsia="Nunito"/>
          <w:bCs/>
        </w:rPr>
        <w:t>MUFG is also among the top global bankers of fossil fuels, with significant financing for coal power, fracked oil &amp; gas, and tar sands</w:t>
      </w:r>
      <w:r w:rsidRPr="00EF2637">
        <w:rPr>
          <w:bCs/>
        </w:rPr>
        <w:t xml:space="preserve">. In Indonesia, </w:t>
      </w:r>
      <w:r w:rsidR="00575EC9" w:rsidRPr="00EF2637">
        <w:rPr>
          <w:bCs/>
        </w:rPr>
        <w:t xml:space="preserve">MUFG </w:t>
      </w:r>
      <w:r w:rsidR="00575EC9" w:rsidRPr="00EF2637">
        <w:rPr>
          <w:bCs/>
        </w:rPr>
        <w:t>Securities As</w:t>
      </w:r>
      <w:r w:rsidR="00575EC9" w:rsidRPr="00EF2637">
        <w:rPr>
          <w:bCs/>
        </w:rPr>
        <w:t xml:space="preserve">ia Limited </w:t>
      </w:r>
      <w:r w:rsidRPr="00EF2637">
        <w:rPr>
          <w:bCs/>
        </w:rPr>
        <w:t>has provided loans</w:t>
      </w:r>
      <w:r w:rsidR="00575EC9" w:rsidRPr="00EF2637">
        <w:rPr>
          <w:bCs/>
          <w:vertAlign w:val="superscript"/>
        </w:rPr>
        <w:footnoteReference w:id="3"/>
      </w:r>
      <w:r w:rsidR="00575EC9" w:rsidRPr="00EF2637">
        <w:rPr>
          <w:bCs/>
        </w:rPr>
        <w:t xml:space="preserve"> </w:t>
      </w:r>
      <w:r w:rsidRPr="00EF2637">
        <w:rPr>
          <w:bCs/>
        </w:rPr>
        <w:t xml:space="preserve">for the subsidiaries of </w:t>
      </w:r>
      <w:r w:rsidR="00575EC9" w:rsidRPr="00EF2637">
        <w:rPr>
          <w:bCs/>
        </w:rPr>
        <w:t>PT. Adaro Energy Tbk (ADRO)</w:t>
      </w:r>
      <w:r w:rsidRPr="00EF2637">
        <w:rPr>
          <w:bCs/>
        </w:rPr>
        <w:t>, Indonesia’s largest</w:t>
      </w:r>
      <w:r w:rsidRPr="006F590B">
        <w:t xml:space="preserve"> operational coal company. According to </w:t>
      </w:r>
      <w:r w:rsidR="00575EC9" w:rsidRPr="006F590B">
        <w:rPr>
          <w:iCs/>
        </w:rPr>
        <w:t>Banking on Climate Chaos</w:t>
      </w:r>
      <w:r w:rsidRPr="006F590B">
        <w:rPr>
          <w:iCs/>
        </w:rPr>
        <w:t xml:space="preserve">’s </w:t>
      </w:r>
      <w:r w:rsidR="00EF2637">
        <w:rPr>
          <w:iCs/>
        </w:rPr>
        <w:t xml:space="preserve">latest </w:t>
      </w:r>
      <w:r w:rsidRPr="006F590B">
        <w:rPr>
          <w:iCs/>
        </w:rPr>
        <w:t>report,</w:t>
      </w:r>
      <w:r w:rsidR="00575EC9" w:rsidRPr="006F590B">
        <w:rPr>
          <w:vertAlign w:val="superscript"/>
        </w:rPr>
        <w:footnoteReference w:id="4"/>
      </w:r>
      <w:r w:rsidR="00575EC9" w:rsidRPr="006F590B">
        <w:t xml:space="preserve"> MUFG </w:t>
      </w:r>
      <w:r w:rsidRPr="006F590B">
        <w:t xml:space="preserve">is responsible for pumping </w:t>
      </w:r>
      <w:r w:rsidR="00575EC9" w:rsidRPr="006F590B">
        <w:t xml:space="preserve">USD 148 </w:t>
      </w:r>
      <w:r w:rsidRPr="006F590B">
        <w:t xml:space="preserve">billions in loans and underwriting to fossil fuel companies during </w:t>
      </w:r>
      <w:r w:rsidR="00575EC9" w:rsidRPr="006F590B">
        <w:t xml:space="preserve">2016-2020, </w:t>
      </w:r>
      <w:r w:rsidRPr="006F590B">
        <w:t>making it Asia’s</w:t>
      </w:r>
      <w:r w:rsidR="00EF2637">
        <w:t xml:space="preserve"> </w:t>
      </w:r>
      <w:r w:rsidRPr="006F590B">
        <w:t xml:space="preserve">worst banker </w:t>
      </w:r>
      <w:r w:rsidR="00F065C7" w:rsidRPr="006F590B">
        <w:t xml:space="preserve">of fossil fuels and </w:t>
      </w:r>
      <w:r w:rsidR="00F065C7" w:rsidRPr="006F590B">
        <w:rPr>
          <w:rFonts w:eastAsia="Nunito"/>
        </w:rPr>
        <w:t>locking us into fossil fuel dependency at a time when we need to rapidly transition to clean energy</w:t>
      </w:r>
      <w:r w:rsidR="00575EC9" w:rsidRPr="006F590B">
        <w:t>.</w:t>
      </w:r>
    </w:p>
    <w:p w14:paraId="116C8350" w14:textId="77777777" w:rsidR="00B07CEF" w:rsidRPr="006F590B" w:rsidRDefault="00B07CEF">
      <w:pPr>
        <w:widowControl w:val="0"/>
        <w:spacing w:line="240" w:lineRule="auto"/>
        <w:jc w:val="both"/>
      </w:pPr>
    </w:p>
    <w:p w14:paraId="0AF64512" w14:textId="4A0EC3DF" w:rsidR="00B07CEF" w:rsidRPr="00EF2637" w:rsidRDefault="00575EC9">
      <w:pPr>
        <w:widowControl w:val="0"/>
        <w:spacing w:line="240" w:lineRule="auto"/>
        <w:jc w:val="both"/>
      </w:pPr>
      <w:r w:rsidRPr="006F590B">
        <w:t>“</w:t>
      </w:r>
      <w:r w:rsidR="00F85E17" w:rsidRPr="006F590B">
        <w:t xml:space="preserve">It’s high time large banks </w:t>
      </w:r>
      <w:r w:rsidR="00477983" w:rsidRPr="006F590B">
        <w:t>shifted</w:t>
      </w:r>
      <w:r w:rsidR="00F85E17" w:rsidRPr="006F590B">
        <w:t xml:space="preserve"> from conventional </w:t>
      </w:r>
      <w:r w:rsidR="00F85E17" w:rsidRPr="006F590B">
        <w:t>financing</w:t>
      </w:r>
      <w:r w:rsidR="00F85E17" w:rsidRPr="006F590B">
        <w:t xml:space="preserve"> to sustainable one as banks can</w:t>
      </w:r>
      <w:r w:rsidR="006F590B" w:rsidRPr="006F590B">
        <w:t xml:space="preserve"> no longer get away with their reckless financing. As the largest bank in Japan, MUFG </w:t>
      </w:r>
      <w:r w:rsidR="006F590B" w:rsidRPr="006F590B">
        <w:rPr>
          <w:rFonts w:eastAsia="Nunito"/>
        </w:rPr>
        <w:t>has the knowledge and resources to be a more responsible bank</w:t>
      </w:r>
      <w:r w:rsidR="006F590B" w:rsidRPr="006F590B">
        <w:t xml:space="preserve"> and </w:t>
      </w:r>
      <w:r w:rsidR="006F590B" w:rsidRPr="006F590B">
        <w:rPr>
          <w:rFonts w:eastAsia="Nunito"/>
        </w:rPr>
        <w:t xml:space="preserve">play an integral part </w:t>
      </w:r>
      <w:r w:rsidR="006F590B" w:rsidRPr="006F590B">
        <w:rPr>
          <w:rFonts w:eastAsia="Nunito"/>
        </w:rPr>
        <w:t xml:space="preserve">by committing to maintaining forest stands, respecting human rights, and immediately requiring all companies that it is </w:t>
      </w:r>
      <w:r w:rsidR="006F590B" w:rsidRPr="00EF2637">
        <w:rPr>
          <w:rFonts w:eastAsia="Nunito"/>
        </w:rPr>
        <w:t xml:space="preserve">financing to uphold its values and commitment, including upholding environmental and social standards through contracts, and suspending relationship with those ruining our sustainable future or violating human rights. </w:t>
      </w:r>
      <w:r w:rsidR="006F590B" w:rsidRPr="00EF2637">
        <w:rPr>
          <w:rFonts w:eastAsia="Nunito"/>
        </w:rPr>
        <w:t>Positive change by MUFG will make a huge impact on the rest of the financial sector</w:t>
      </w:r>
      <w:r w:rsidR="006F590B" w:rsidRPr="00EF2637">
        <w:rPr>
          <w:rFonts w:eastAsia="Nunito"/>
        </w:rPr>
        <w:t xml:space="preserve">,” </w:t>
      </w:r>
      <w:r w:rsidR="00C8237D" w:rsidRPr="00EF2637">
        <w:rPr>
          <w:rFonts w:eastAsia="Nunito"/>
        </w:rPr>
        <w:t xml:space="preserve">added Edi. </w:t>
      </w:r>
    </w:p>
    <w:p w14:paraId="24C46F13" w14:textId="77777777" w:rsidR="00B07CEF" w:rsidRPr="00EF2637" w:rsidRDefault="00B07CEF">
      <w:pPr>
        <w:widowControl w:val="0"/>
        <w:spacing w:line="240" w:lineRule="auto"/>
        <w:jc w:val="both"/>
      </w:pPr>
    </w:p>
    <w:p w14:paraId="1EE5F3D6" w14:textId="0A7E5F9B" w:rsidR="00B07CEF" w:rsidRDefault="00575EC9">
      <w:pPr>
        <w:widowControl w:val="0"/>
        <w:spacing w:line="240" w:lineRule="auto"/>
        <w:jc w:val="both"/>
      </w:pPr>
      <w:r>
        <w:t xml:space="preserve">Dr Bayu Eka Yulian, </w:t>
      </w:r>
      <w:r w:rsidR="00C8237D">
        <w:t xml:space="preserve">the Secretary of </w:t>
      </w:r>
      <w:r w:rsidR="00EF2637">
        <w:t xml:space="preserve">the </w:t>
      </w:r>
      <w:r w:rsidR="00C8237D">
        <w:t>Center for Agrarian Studies of Bogor Agricultural Institute</w:t>
      </w:r>
      <w:r w:rsidR="00EF2637">
        <w:t xml:space="preserve"> (</w:t>
      </w:r>
      <w:r w:rsidR="00EF2637">
        <w:t>PSA IPB University</w:t>
      </w:r>
      <w:r w:rsidR="00EF2637">
        <w:t>)</w:t>
      </w:r>
      <w:r w:rsidR="00C8237D">
        <w:t xml:space="preserve">, </w:t>
      </w:r>
      <w:r w:rsidR="00A937B3">
        <w:t>says</w:t>
      </w:r>
      <w:r w:rsidR="00C8237D">
        <w:t xml:space="preserve">, “If the loss of forests and livelihood, and criminalization of ordinary people are the effect, then capital/investment is one of the causes. All the actors should therefore revisit </w:t>
      </w:r>
      <w:r w:rsidR="00EF2637">
        <w:t xml:space="preserve">their </w:t>
      </w:r>
      <w:r w:rsidR="00C8237D">
        <w:t xml:space="preserve">investment and capital allocation approaches with sustainability as the philosophy of investment in mind. Indonesia’s Financial Services Authority (OJK) with its Sustainable Finance Roadmap should </w:t>
      </w:r>
      <w:r w:rsidR="00477983">
        <w:t>strictly</w:t>
      </w:r>
      <w:r w:rsidR="00EF2637">
        <w:t xml:space="preserve"> </w:t>
      </w:r>
      <w:r w:rsidR="00C8237D">
        <w:t xml:space="preserve">lead </w:t>
      </w:r>
      <w:r w:rsidR="00EF2637">
        <w:t>this sustainable finance movement.”</w:t>
      </w:r>
      <w:r>
        <w:t xml:space="preserve"> </w:t>
      </w:r>
    </w:p>
    <w:p w14:paraId="76C81A9A" w14:textId="77777777" w:rsidR="00B07CEF" w:rsidRDefault="00B07CEF">
      <w:pPr>
        <w:widowControl w:val="0"/>
        <w:spacing w:line="240" w:lineRule="auto"/>
        <w:jc w:val="both"/>
      </w:pPr>
    </w:p>
    <w:p w14:paraId="75B1792F" w14:textId="77777777" w:rsidR="00B07CEF" w:rsidRDefault="00575EC9">
      <w:pPr>
        <w:widowControl w:val="0"/>
        <w:spacing w:line="240" w:lineRule="auto"/>
        <w:jc w:val="center"/>
      </w:pPr>
      <w:r>
        <w:t>###</w:t>
      </w:r>
    </w:p>
    <w:p w14:paraId="3482E800" w14:textId="77777777" w:rsidR="00B07CEF" w:rsidRDefault="00B07CEF">
      <w:pPr>
        <w:widowControl w:val="0"/>
        <w:spacing w:line="240" w:lineRule="auto"/>
      </w:pPr>
    </w:p>
    <w:p w14:paraId="1D0B1F72" w14:textId="5B2A9E4D" w:rsidR="00B07CEF" w:rsidRDefault="00EF2637">
      <w:pPr>
        <w:widowControl w:val="0"/>
        <w:spacing w:line="240" w:lineRule="auto"/>
      </w:pPr>
      <w:r>
        <w:t>Contacts</w:t>
      </w:r>
      <w:r w:rsidR="00575EC9">
        <w:t>:</w:t>
      </w:r>
    </w:p>
    <w:p w14:paraId="4EC20AEA" w14:textId="6E11A560" w:rsidR="00B07CEF" w:rsidRDefault="00575EC9">
      <w:pPr>
        <w:widowControl w:val="0"/>
        <w:spacing w:line="240" w:lineRule="auto"/>
      </w:pPr>
      <w:r>
        <w:t>Di</w:t>
      </w:r>
      <w:r w:rsidR="00EF2637">
        <w:t xml:space="preserve">rector of </w:t>
      </w:r>
      <w:r>
        <w:t>TuK INDONESIA, Edi Sutrisno (</w:t>
      </w:r>
      <w:hyperlink r:id="rId6">
        <w:r>
          <w:rPr>
            <w:color w:val="1155CC"/>
            <w:u w:val="single"/>
          </w:rPr>
          <w:t>edisutrisno@tuk.or.id</w:t>
        </w:r>
      </w:hyperlink>
      <w:r>
        <w:t>/ 0813-1584-9153)</w:t>
      </w:r>
    </w:p>
    <w:p w14:paraId="05299D2F" w14:textId="2BDB8F5F" w:rsidR="00B07CEF" w:rsidRDefault="00EF2637">
      <w:pPr>
        <w:widowControl w:val="0"/>
        <w:spacing w:line="240" w:lineRule="auto"/>
      </w:pPr>
      <w:r>
        <w:t>Secret</w:t>
      </w:r>
      <w:r w:rsidR="001120E6">
        <w:t>a</w:t>
      </w:r>
      <w:r>
        <w:t xml:space="preserve">ry of </w:t>
      </w:r>
      <w:r w:rsidR="00575EC9">
        <w:t>PSA IPB University, Dr Bayu Eka Yulian (</w:t>
      </w:r>
      <w:hyperlink r:id="rId7">
        <w:r w:rsidR="00575EC9">
          <w:rPr>
            <w:color w:val="1155CC"/>
            <w:u w:val="single"/>
          </w:rPr>
          <w:t>bayueka@apps.ipb.ac.id</w:t>
        </w:r>
      </w:hyperlink>
      <w:r w:rsidR="00575EC9">
        <w:t>/ 0811-535-444)</w:t>
      </w:r>
    </w:p>
    <w:p w14:paraId="287FD650" w14:textId="77777777" w:rsidR="00B07CEF" w:rsidRDefault="00B07CEF">
      <w:pPr>
        <w:widowControl w:val="0"/>
        <w:spacing w:line="240" w:lineRule="auto"/>
      </w:pPr>
    </w:p>
    <w:p w14:paraId="4B4D846B" w14:textId="7254C6A4" w:rsidR="00B07CEF" w:rsidRDefault="00EF2637">
      <w:pPr>
        <w:widowControl w:val="0"/>
        <w:spacing w:line="240" w:lineRule="auto"/>
      </w:pPr>
      <w:r>
        <w:t>Media contact</w:t>
      </w:r>
      <w:r w:rsidR="00575EC9">
        <w:t>:</w:t>
      </w:r>
    </w:p>
    <w:p w14:paraId="77DDD00A" w14:textId="77777777" w:rsidR="00B07CEF" w:rsidRDefault="00575EC9">
      <w:pPr>
        <w:widowControl w:val="0"/>
        <w:spacing w:line="240" w:lineRule="auto"/>
      </w:pPr>
      <w:r>
        <w:t>TuK INDONESIA: Lin</w:t>
      </w:r>
      <w:r>
        <w:t>da Rosalina (</w:t>
      </w:r>
      <w:hyperlink r:id="rId8">
        <w:r>
          <w:rPr>
            <w:color w:val="1155CC"/>
            <w:u w:val="single"/>
          </w:rPr>
          <w:t>linda@tuk.or.id</w:t>
        </w:r>
      </w:hyperlink>
      <w:r>
        <w:t>/ 0812-1942-7257)</w:t>
      </w:r>
    </w:p>
    <w:p w14:paraId="1383014D" w14:textId="77777777" w:rsidR="00B07CEF" w:rsidRDefault="00B07CEF">
      <w:pPr>
        <w:widowControl w:val="0"/>
        <w:spacing w:line="240" w:lineRule="auto"/>
      </w:pPr>
    </w:p>
    <w:sectPr w:rsidR="00B07CEF">
      <w:headerReference w:type="default" r:id="rId9"/>
      <w:headerReference w:type="first" r:id="rId10"/>
      <w:pgSz w:w="12240" w:h="15840"/>
      <w:pgMar w:top="1440" w:right="117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1B149" w14:textId="77777777" w:rsidR="00575EC9" w:rsidRDefault="00575EC9">
      <w:pPr>
        <w:spacing w:line="240" w:lineRule="auto"/>
      </w:pPr>
      <w:r>
        <w:separator/>
      </w:r>
    </w:p>
  </w:endnote>
  <w:endnote w:type="continuationSeparator" w:id="0">
    <w:p w14:paraId="5523C875" w14:textId="77777777" w:rsidR="00575EC9" w:rsidRDefault="00575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91C08" w14:textId="77777777" w:rsidR="00575EC9" w:rsidRDefault="00575EC9">
      <w:pPr>
        <w:spacing w:line="240" w:lineRule="auto"/>
      </w:pPr>
      <w:r>
        <w:separator/>
      </w:r>
    </w:p>
  </w:footnote>
  <w:footnote w:type="continuationSeparator" w:id="0">
    <w:p w14:paraId="679F30A1" w14:textId="77777777" w:rsidR="00575EC9" w:rsidRDefault="00575EC9">
      <w:pPr>
        <w:spacing w:line="240" w:lineRule="auto"/>
      </w:pPr>
      <w:r>
        <w:continuationSeparator/>
      </w:r>
    </w:p>
  </w:footnote>
  <w:footnote w:id="1">
    <w:p w14:paraId="1AD068AB" w14:textId="77777777" w:rsidR="00D112C3" w:rsidRDefault="00D112C3" w:rsidP="00D112C3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18"/>
            <w:szCs w:val="18"/>
            <w:u w:val="single"/>
          </w:rPr>
          <w:t>Rekam Jejak Pelanggaran HAM Perusahaan Raksasa Sinar Mas Group dan Perlawanan Masyarakat di Garis Depan, RAN 2020</w:t>
        </w:r>
      </w:hyperlink>
    </w:p>
  </w:footnote>
  <w:footnote w:id="2">
    <w:p w14:paraId="7FFF4C63" w14:textId="77777777" w:rsidR="00B07CEF" w:rsidRDefault="00575EC9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hyperlink r:id="rId2">
        <w:r>
          <w:rPr>
            <w:color w:val="1155CC"/>
            <w:sz w:val="20"/>
            <w:szCs w:val="20"/>
            <w:u w:val="single"/>
          </w:rPr>
          <w:t xml:space="preserve"> </w:t>
        </w:r>
      </w:hyperlink>
      <w:hyperlink r:id="rId3">
        <w:r>
          <w:rPr>
            <w:color w:val="1155CC"/>
            <w:sz w:val="18"/>
            <w:szCs w:val="18"/>
            <w:u w:val="single"/>
          </w:rPr>
          <w:t>Why are banks and investors st</w:t>
        </w:r>
        <w:r>
          <w:rPr>
            <w:color w:val="1155CC"/>
            <w:sz w:val="18"/>
            <w:szCs w:val="18"/>
            <w:u w:val="single"/>
          </w:rPr>
          <w:t>i</w:t>
        </w:r>
        <w:r>
          <w:rPr>
            <w:color w:val="1155CC"/>
            <w:sz w:val="18"/>
            <w:szCs w:val="18"/>
            <w:u w:val="single"/>
          </w:rPr>
          <w:t>ll funding Indofood?</w:t>
        </w:r>
      </w:hyperlink>
    </w:p>
  </w:footnote>
  <w:footnote w:id="3">
    <w:p w14:paraId="00226236" w14:textId="77777777" w:rsidR="00B07CEF" w:rsidRDefault="00575EC9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">
        <w:r>
          <w:rPr>
            <w:color w:val="1155CC"/>
            <w:sz w:val="18"/>
            <w:szCs w:val="18"/>
            <w:u w:val="single"/>
          </w:rPr>
          <w:t>Bayar Utang dan Ekspansi Adaro Indonesia Terbitkan Global Bond, Kontan.co.id 2019</w:t>
        </w:r>
      </w:hyperlink>
    </w:p>
  </w:footnote>
  <w:footnote w:id="4">
    <w:p w14:paraId="421E68FD" w14:textId="77777777" w:rsidR="00B07CEF" w:rsidRDefault="00575EC9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5">
        <w:r>
          <w:rPr>
            <w:color w:val="1155CC"/>
            <w:sz w:val="18"/>
            <w:szCs w:val="18"/>
            <w:u w:val="single"/>
          </w:rPr>
          <w:t>Banking on Climate Cha</w:t>
        </w:r>
        <w:r>
          <w:rPr>
            <w:color w:val="1155CC"/>
            <w:sz w:val="18"/>
            <w:szCs w:val="18"/>
            <w:u w:val="single"/>
          </w:rPr>
          <w:t>os Report, RAN 2021</w:t>
        </w:r>
      </w:hyperlink>
      <w:hyperlink r:id="rId6">
        <w:r>
          <w:rPr>
            <w:color w:val="1155CC"/>
            <w:sz w:val="20"/>
            <w:szCs w:val="20"/>
            <w:u w:val="single"/>
          </w:rPr>
          <w:t xml:space="preserve">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11BD" w14:textId="77777777" w:rsidR="00B07CEF" w:rsidRDefault="00B07CEF">
    <w:pPr>
      <w:widowControl w:val="0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2D8BC" w14:textId="77777777" w:rsidR="00B07CEF" w:rsidRDefault="00575EC9">
    <w:pPr>
      <w:widowControl w:val="0"/>
      <w:spacing w:line="240" w:lineRule="auto"/>
      <w:jc w:val="center"/>
    </w:pPr>
    <w:r>
      <w:rPr>
        <w:noProof/>
      </w:rPr>
      <w:drawing>
        <wp:inline distT="114300" distB="114300" distL="114300" distR="114300" wp14:anchorId="04A05B46" wp14:editId="16DA430E">
          <wp:extent cx="995363" cy="441127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363" cy="4411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noProof/>
        <w:sz w:val="26"/>
        <w:szCs w:val="26"/>
      </w:rPr>
      <w:drawing>
        <wp:inline distT="114300" distB="114300" distL="114300" distR="114300" wp14:anchorId="4E4B3385" wp14:editId="36046170">
          <wp:extent cx="1319213" cy="4515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29263" b="36096"/>
                  <a:stretch>
                    <a:fillRect/>
                  </a:stretch>
                </pic:blipFill>
                <pic:spPr>
                  <a:xfrm>
                    <a:off x="0" y="0"/>
                    <a:ext cx="1319213" cy="4515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611AE3A5" wp14:editId="5F9C289A">
          <wp:extent cx="943054" cy="51911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054" cy="519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EF"/>
    <w:rsid w:val="001120E6"/>
    <w:rsid w:val="00171957"/>
    <w:rsid w:val="001A176C"/>
    <w:rsid w:val="002418B4"/>
    <w:rsid w:val="00377AC4"/>
    <w:rsid w:val="004349E4"/>
    <w:rsid w:val="00477983"/>
    <w:rsid w:val="004D2956"/>
    <w:rsid w:val="00575EC9"/>
    <w:rsid w:val="006F590B"/>
    <w:rsid w:val="008D20E0"/>
    <w:rsid w:val="00A937B3"/>
    <w:rsid w:val="00B07CEF"/>
    <w:rsid w:val="00BA5E35"/>
    <w:rsid w:val="00C57481"/>
    <w:rsid w:val="00C757AD"/>
    <w:rsid w:val="00C8237D"/>
    <w:rsid w:val="00D112C3"/>
    <w:rsid w:val="00EF2637"/>
    <w:rsid w:val="00F065C7"/>
    <w:rsid w:val="00F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26C9"/>
  <w15:docId w15:val="{87176FC9-6564-4D80-B564-77D76465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757A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AD"/>
  </w:style>
  <w:style w:type="paragraph" w:styleId="Footer">
    <w:name w:val="footer"/>
    <w:basedOn w:val="Normal"/>
    <w:link w:val="FooterChar"/>
    <w:uiPriority w:val="99"/>
    <w:unhideWhenUsed/>
    <w:rsid w:val="00C757A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@tuk.or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yueka@apps.ipb.ac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sutrisno@tuk.or.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orestsandfinance.org/blog/why-are-banks-and-investors-still-funding-indofood/" TargetMode="External"/><Relationship Id="rId2" Type="http://schemas.openxmlformats.org/officeDocument/2006/relationships/hyperlink" Target="https://forestsandfinance.org/blog/why-are-banks-and-investors-still-funding-indofood/" TargetMode="External"/><Relationship Id="rId1" Type="http://schemas.openxmlformats.org/officeDocument/2006/relationships/hyperlink" Target="https://www.ran.org/the-understory/menghancurkan-kehidupan-dan-merampas-lahan/" TargetMode="External"/><Relationship Id="rId6" Type="http://schemas.openxmlformats.org/officeDocument/2006/relationships/hyperlink" Target="https://www.ran.org/bankingonclimatechaos2021/" TargetMode="External"/><Relationship Id="rId5" Type="http://schemas.openxmlformats.org/officeDocument/2006/relationships/hyperlink" Target="https://www.ran.org/bankingonclimatechaos2021/" TargetMode="External"/><Relationship Id="rId4" Type="http://schemas.openxmlformats.org/officeDocument/2006/relationships/hyperlink" Target="https://insight.kontan.co.id/news/bayar-utang-dan-ekspansi-adaro-indonesia-terbitkan-global-bond-us-750-jut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 Warman</dc:creator>
  <cp:lastModifiedBy>Aditya Warman</cp:lastModifiedBy>
  <cp:revision>6</cp:revision>
  <dcterms:created xsi:type="dcterms:W3CDTF">2021-04-05T04:07:00Z</dcterms:created>
  <dcterms:modified xsi:type="dcterms:W3CDTF">2021-04-05T04:56:00Z</dcterms:modified>
</cp:coreProperties>
</file>